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658A" w14:textId="433C8EC7" w:rsidR="00DA6BD5" w:rsidRPr="00CE7BD2" w:rsidRDefault="00AE2CBA" w:rsidP="00DA6B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2"/>
          <w:szCs w:val="22"/>
        </w:rPr>
        <w:t xml:space="preserve">ISYAA </w:t>
      </w:r>
      <w:r w:rsidR="00DA6BD5" w:rsidRPr="00CE7BD2">
        <w:rPr>
          <w:rFonts w:ascii="Verdana" w:hAnsi="Verdana" w:cs="Verdana"/>
          <w:b/>
          <w:bCs/>
          <w:sz w:val="22"/>
          <w:szCs w:val="22"/>
        </w:rPr>
        <w:t>Coach's Code of Conduct</w:t>
      </w:r>
    </w:p>
    <w:p w14:paraId="2B224902" w14:textId="77777777" w:rsidR="00DA6BD5" w:rsidRPr="00CE7BD2" w:rsidRDefault="00DA6BD5" w:rsidP="00DA6B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b/>
          <w:bCs/>
          <w:sz w:val="22"/>
          <w:szCs w:val="22"/>
        </w:rPr>
        <w:t>Purpose</w:t>
      </w:r>
    </w:p>
    <w:p w14:paraId="5D579E87" w14:textId="77777777" w:rsidR="00DA6BD5" w:rsidRPr="00CE7BD2" w:rsidRDefault="00DA6BD5" w:rsidP="00DA6B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The purpose of this code is to clarify and distinguish approved and accepted professional, ethical and moral behavior from that which is detrimental to the development of basketball within ISYAA.</w:t>
      </w:r>
      <w:r w:rsidR="00F263F0" w:rsidRPr="00CE7BD2">
        <w:rPr>
          <w:rFonts w:ascii="Verdana" w:hAnsi="Verdana" w:cs="Verdana"/>
          <w:sz w:val="22"/>
          <w:szCs w:val="22"/>
        </w:rPr>
        <w:t xml:space="preserve">  </w:t>
      </w:r>
      <w:r w:rsidRPr="00CE7BD2">
        <w:rPr>
          <w:rFonts w:ascii="Verdana" w:hAnsi="Verdana" w:cs="Verdana"/>
          <w:sz w:val="22"/>
          <w:szCs w:val="22"/>
        </w:rPr>
        <w:t xml:space="preserve">ISYAA has adopted this code to apply to all the coaches involved in ISYAA. </w:t>
      </w:r>
    </w:p>
    <w:p w14:paraId="056981DB" w14:textId="77777777" w:rsidR="00DA6BD5" w:rsidRPr="00CE7BD2" w:rsidRDefault="00DA6BD5" w:rsidP="00DA6B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b/>
          <w:bCs/>
          <w:sz w:val="22"/>
          <w:szCs w:val="22"/>
        </w:rPr>
        <w:t>Policy</w:t>
      </w:r>
    </w:p>
    <w:p w14:paraId="3BA755BF" w14:textId="77777777" w:rsidR="00DA6BD5" w:rsidRPr="00CE7BD2" w:rsidRDefault="00DA6BD5" w:rsidP="00DA6B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b/>
          <w:sz w:val="22"/>
          <w:szCs w:val="22"/>
        </w:rPr>
        <w:t>Coaching is a privilege</w:t>
      </w:r>
      <w:r w:rsidRPr="00CE7BD2">
        <w:rPr>
          <w:rFonts w:ascii="Verdana" w:hAnsi="Verdana" w:cs="Verdana"/>
          <w:sz w:val="22"/>
          <w:szCs w:val="22"/>
        </w:rPr>
        <w:t>.  It carries with it an obligation for each individual coach to uphold and promote the stated goals and objectives. Any conduct considered unethical or a conflict of interest shall be subject to discipline by ISYAA.</w:t>
      </w:r>
    </w:p>
    <w:p w14:paraId="1D915A27" w14:textId="77777777" w:rsidR="00DA6BD5" w:rsidRPr="00CE7BD2" w:rsidRDefault="00DA6BD5" w:rsidP="00DA6B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b/>
          <w:bCs/>
          <w:sz w:val="22"/>
          <w:szCs w:val="22"/>
        </w:rPr>
        <w:t>Article I – Responsibilities to Players</w:t>
      </w:r>
    </w:p>
    <w:p w14:paraId="6C3C54DE" w14:textId="77777777" w:rsidR="00DA6BD5" w:rsidRPr="00CE7BD2" w:rsidRDefault="00DA6BD5" w:rsidP="00DA6B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The coach shall never place the value of winning over the safety and welfare of players.</w:t>
      </w:r>
    </w:p>
    <w:p w14:paraId="6190CC85" w14:textId="77777777" w:rsidR="00DA6BD5" w:rsidRPr="00CE7BD2" w:rsidRDefault="00DA6BD5" w:rsidP="00DA6B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Coaches shall instruct players to play within the written laws of the game and within the spirit of the game at all times.</w:t>
      </w:r>
    </w:p>
    <w:p w14:paraId="0B02FE89" w14:textId="77777777" w:rsidR="00DA6BD5" w:rsidRPr="00CE7BD2" w:rsidRDefault="00DA6BD5" w:rsidP="00DA6B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Coaches shall not seek unfair advantage by teaching deliberate unsportsmanlike behavior to players.</w:t>
      </w:r>
    </w:p>
    <w:p w14:paraId="0CEB76AF" w14:textId="77777777" w:rsidR="00DA6BD5" w:rsidRPr="00CE7BD2" w:rsidRDefault="00DA6BD5" w:rsidP="00DA6B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Coaches shall not tolerate inappropriate behavior from players regardless of the situation.</w:t>
      </w:r>
    </w:p>
    <w:p w14:paraId="4034D1CB" w14:textId="77777777" w:rsidR="00DA6BD5" w:rsidRPr="00CE7BD2" w:rsidRDefault="00DA6BD5" w:rsidP="00DA6B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Demands placed on players’ time shall never be so extensive as to interfere with academic goals or progress.</w:t>
      </w:r>
    </w:p>
    <w:p w14:paraId="456137C1" w14:textId="18DA37FA" w:rsidR="00F263F0" w:rsidRPr="00CE7BD2" w:rsidRDefault="00F263F0" w:rsidP="00DA6B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Coaches are responsible for the</w:t>
      </w:r>
      <w:r w:rsidR="00BE122F">
        <w:rPr>
          <w:rFonts w:ascii="Verdana" w:hAnsi="Verdana" w:cs="Verdana"/>
          <w:sz w:val="22"/>
          <w:szCs w:val="22"/>
        </w:rPr>
        <w:t>ir players’ actions on the court</w:t>
      </w:r>
      <w:r w:rsidRPr="00CE7BD2">
        <w:rPr>
          <w:rFonts w:ascii="Verdana" w:hAnsi="Verdana" w:cs="Verdana"/>
          <w:sz w:val="22"/>
          <w:szCs w:val="22"/>
        </w:rPr>
        <w:t xml:space="preserve"> and must not permit them to perform with intent of causing injury to opposing players.</w:t>
      </w:r>
    </w:p>
    <w:p w14:paraId="3DA4CD3E" w14:textId="77777777" w:rsidR="00F263F0" w:rsidRPr="00CE7BD2" w:rsidRDefault="00DA6BD5" w:rsidP="00F263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Coaches shall direct players to seek proper medical attention for injuries and to follow the physician’s instructions regarding treatment and recovery.</w:t>
      </w:r>
    </w:p>
    <w:p w14:paraId="76628D1A" w14:textId="77777777" w:rsidR="00F263F0" w:rsidRPr="00CE7BD2" w:rsidRDefault="00F263F0" w:rsidP="00DA6B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 xml:space="preserve">The coach must constantly strive to teach good sporting behavior. </w:t>
      </w:r>
    </w:p>
    <w:p w14:paraId="3DCC0685" w14:textId="77777777" w:rsidR="00DA6BD5" w:rsidRPr="00CE7BD2" w:rsidRDefault="00DA6BD5" w:rsidP="00DA6B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b/>
          <w:bCs/>
          <w:sz w:val="22"/>
          <w:szCs w:val="22"/>
        </w:rPr>
        <w:t xml:space="preserve">Article II – Responsibility to </w:t>
      </w:r>
      <w:r w:rsidR="00F263F0" w:rsidRPr="00CE7BD2">
        <w:rPr>
          <w:rFonts w:ascii="Verdana" w:hAnsi="Verdana" w:cs="Verdana"/>
          <w:b/>
          <w:bCs/>
          <w:sz w:val="22"/>
          <w:szCs w:val="22"/>
        </w:rPr>
        <w:t>Little Big 10</w:t>
      </w:r>
    </w:p>
    <w:p w14:paraId="572301B1" w14:textId="15D3E268" w:rsidR="00DA6BD5" w:rsidRPr="00CE7BD2" w:rsidRDefault="00DA6BD5" w:rsidP="00DA6BD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Adherence to Little Big 10 rules and policies is mandatory and shou</w:t>
      </w:r>
      <w:r w:rsidR="00BE122F">
        <w:rPr>
          <w:rFonts w:ascii="Verdana" w:hAnsi="Verdana" w:cs="Verdana"/>
          <w:sz w:val="22"/>
          <w:szCs w:val="22"/>
        </w:rPr>
        <w:t xml:space="preserve">ld never be violated. It is the </w:t>
      </w:r>
      <w:r w:rsidRPr="00CE7BD2">
        <w:rPr>
          <w:rFonts w:ascii="Verdana" w:hAnsi="Verdana" w:cs="Verdana"/>
          <w:sz w:val="22"/>
          <w:szCs w:val="22"/>
        </w:rPr>
        <w:t>responsibility of each coach to know and understand these rules.</w:t>
      </w:r>
    </w:p>
    <w:p w14:paraId="7504DA49" w14:textId="77777777" w:rsidR="00DA6BD5" w:rsidRPr="00CE7BD2" w:rsidRDefault="00F263F0" w:rsidP="00DA6B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b/>
          <w:bCs/>
          <w:sz w:val="22"/>
          <w:szCs w:val="22"/>
        </w:rPr>
        <w:t>Article III</w:t>
      </w:r>
      <w:r w:rsidR="00DA6BD5" w:rsidRPr="00CE7BD2">
        <w:rPr>
          <w:rFonts w:ascii="Verdana" w:hAnsi="Verdana" w:cs="Verdana"/>
          <w:b/>
          <w:bCs/>
          <w:sz w:val="22"/>
          <w:szCs w:val="22"/>
        </w:rPr>
        <w:t xml:space="preserve"> – Responsibility to Officials</w:t>
      </w:r>
    </w:p>
    <w:p w14:paraId="56370D71" w14:textId="072F78DE" w:rsidR="00DA6BD5" w:rsidRPr="00CE7BD2" w:rsidRDefault="00DA6BD5" w:rsidP="00DA6BD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 xml:space="preserve"> </w:t>
      </w:r>
      <w:r w:rsidR="00BE122F">
        <w:rPr>
          <w:rFonts w:ascii="Verdana" w:hAnsi="Verdana" w:cs="Verdana"/>
          <w:sz w:val="22"/>
          <w:szCs w:val="22"/>
        </w:rPr>
        <w:t>C</w:t>
      </w:r>
      <w:r w:rsidRPr="00CE7BD2">
        <w:rPr>
          <w:rFonts w:ascii="Verdana" w:hAnsi="Verdana" w:cs="Verdana"/>
          <w:sz w:val="22"/>
          <w:szCs w:val="22"/>
        </w:rPr>
        <w:t>oaches, players and spectators</w:t>
      </w:r>
      <w:r w:rsidR="00BE122F">
        <w:rPr>
          <w:rFonts w:ascii="Verdana" w:hAnsi="Verdana" w:cs="Verdana"/>
          <w:sz w:val="22"/>
          <w:szCs w:val="22"/>
        </w:rPr>
        <w:t xml:space="preserve"> must treat officials with respect</w:t>
      </w:r>
      <w:r w:rsidR="00AE2CBA">
        <w:rPr>
          <w:rFonts w:ascii="Verdana" w:hAnsi="Verdana" w:cs="Verdana"/>
          <w:sz w:val="22"/>
          <w:szCs w:val="22"/>
        </w:rPr>
        <w:t xml:space="preserve">. </w:t>
      </w:r>
    </w:p>
    <w:p w14:paraId="190B89AF" w14:textId="77777777" w:rsidR="00DA6BD5" w:rsidRPr="00CE7BD2" w:rsidRDefault="00DA6BD5" w:rsidP="00DA6BD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Professional respect, before, during and after the game must be mutual. There must be no demeaning dialogue or gestures between official, coach or player.</w:t>
      </w:r>
    </w:p>
    <w:p w14:paraId="6AADCC0C" w14:textId="77777777" w:rsidR="00DA6BD5" w:rsidRPr="00CE7BD2" w:rsidRDefault="00DA6BD5" w:rsidP="00DA6BD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Comments regarding an official should be</w:t>
      </w:r>
      <w:r w:rsidR="00CE7BD2" w:rsidRPr="00CE7BD2">
        <w:rPr>
          <w:rFonts w:ascii="Verdana" w:hAnsi="Verdana" w:cs="Verdana"/>
          <w:sz w:val="22"/>
          <w:szCs w:val="22"/>
        </w:rPr>
        <w:t xml:space="preserve"> made in writing to the ISYAA board and will be presented to the Little Big 10 board</w:t>
      </w:r>
      <w:r w:rsidRPr="00CE7BD2">
        <w:rPr>
          <w:rFonts w:ascii="Verdana" w:hAnsi="Verdana" w:cs="Verdana"/>
          <w:sz w:val="22"/>
          <w:szCs w:val="22"/>
        </w:rPr>
        <w:t>.</w:t>
      </w:r>
    </w:p>
    <w:p w14:paraId="2879E185" w14:textId="77777777" w:rsidR="00DA6BD5" w:rsidRPr="00CE7BD2" w:rsidRDefault="00DA6BD5" w:rsidP="00DA6B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b/>
          <w:bCs/>
          <w:sz w:val="22"/>
          <w:szCs w:val="22"/>
        </w:rPr>
        <w:t>Article VI – Responsibility of Public Relations</w:t>
      </w:r>
    </w:p>
    <w:p w14:paraId="66CD7A24" w14:textId="77777777" w:rsidR="00DA6BD5" w:rsidRPr="00CE7BD2" w:rsidRDefault="00DA6BD5" w:rsidP="00DA6B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1 Coaches have the responsibility to assist their players and families in conducting themselves properly when in public, when representing ISYAA.</w:t>
      </w:r>
    </w:p>
    <w:p w14:paraId="73D39436" w14:textId="77777777" w:rsidR="00DA6BD5" w:rsidRPr="00CE7BD2" w:rsidRDefault="00DA6BD5" w:rsidP="00DA6BD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b/>
          <w:bCs/>
          <w:sz w:val="22"/>
          <w:szCs w:val="22"/>
        </w:rPr>
        <w:t>Article VII – Other Responsibilities</w:t>
      </w:r>
    </w:p>
    <w:p w14:paraId="16E9D35B" w14:textId="77777777" w:rsidR="00DA6BD5" w:rsidRPr="00CE7BD2" w:rsidRDefault="00DA6BD5" w:rsidP="00DA6BD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The behavior of coaches must be such as to bring credit to themselves, ISYAA and the sport of basketball.</w:t>
      </w:r>
    </w:p>
    <w:p w14:paraId="235E07BA" w14:textId="77777777" w:rsidR="00DA6BD5" w:rsidRPr="00CE7BD2" w:rsidRDefault="00DA6BD5" w:rsidP="00DA6BD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While the concept of rivalry is wholly embraced, it cannot take precedence over exemplary professional conduct.</w:t>
      </w:r>
    </w:p>
    <w:p w14:paraId="695B30DA" w14:textId="77777777" w:rsidR="00DA6BD5" w:rsidRPr="00CE7BD2" w:rsidRDefault="00DA6BD5" w:rsidP="00DA6BD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The attitude and conduct of the coach towards officials, players, spectators and coaches must be controlled and undemonstrative.</w:t>
      </w:r>
    </w:p>
    <w:p w14:paraId="6A6E0391" w14:textId="77777777" w:rsidR="00DA6BD5" w:rsidRPr="00CE7BD2" w:rsidRDefault="00DA6BD5" w:rsidP="00DA6BD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 xml:space="preserve">It is unacceptable for a coach to have any verbal altercation with an official, opposing coach or bench before, during or after the game.  </w:t>
      </w:r>
    </w:p>
    <w:p w14:paraId="7F80C95C" w14:textId="28D383E0" w:rsidR="00681FDA" w:rsidRDefault="00DA6BD5" w:rsidP="00DA6BD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Coaches must use their influence on spectators that demonstrate intimidating and/or unacceptable behavior towards officials, player(s) and opposing team members.</w:t>
      </w:r>
    </w:p>
    <w:p w14:paraId="2424D4BB" w14:textId="4BD7237B" w:rsidR="00DA6BD5" w:rsidRPr="00681FDA" w:rsidRDefault="00DA6BD5" w:rsidP="00DA6BD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81FDA">
        <w:rPr>
          <w:rFonts w:ascii="Verdana" w:hAnsi="Verdana" w:cs="Verdana"/>
        </w:rPr>
        <w:t>I certify that I understand that shou</w:t>
      </w:r>
      <w:r w:rsidR="00F06D79" w:rsidRPr="00681FDA">
        <w:rPr>
          <w:rFonts w:ascii="Verdana" w:hAnsi="Verdana" w:cs="Verdana"/>
        </w:rPr>
        <w:t xml:space="preserve">ld I breach this code of ethics I could </w:t>
      </w:r>
      <w:r w:rsidR="00CC3D8B">
        <w:rPr>
          <w:rFonts w:ascii="Verdana" w:hAnsi="Verdana" w:cs="Verdana"/>
        </w:rPr>
        <w:t xml:space="preserve">be </w:t>
      </w:r>
      <w:r w:rsidR="00F06D79" w:rsidRPr="00681FDA">
        <w:rPr>
          <w:rFonts w:ascii="Verdana" w:hAnsi="Verdana" w:cs="Verdana"/>
        </w:rPr>
        <w:t>dismissed from ISYAA</w:t>
      </w:r>
      <w:r w:rsidRPr="00681FDA">
        <w:rPr>
          <w:rFonts w:ascii="Verdana" w:hAnsi="Verdana" w:cs="Verdana"/>
        </w:rPr>
        <w:t>.</w:t>
      </w:r>
    </w:p>
    <w:p w14:paraId="270DE417" w14:textId="77777777" w:rsidR="0080713F" w:rsidRPr="00CE7BD2" w:rsidRDefault="00DA6BD5" w:rsidP="00DA6BD5">
      <w:pPr>
        <w:rPr>
          <w:sz w:val="22"/>
          <w:szCs w:val="22"/>
        </w:rPr>
      </w:pPr>
      <w:r w:rsidRPr="00CE7BD2">
        <w:rPr>
          <w:rFonts w:ascii="Verdana" w:hAnsi="Verdana" w:cs="Verdana"/>
          <w:sz w:val="22"/>
          <w:szCs w:val="22"/>
        </w:rPr>
        <w:t> </w:t>
      </w:r>
    </w:p>
    <w:sectPr w:rsidR="0080713F" w:rsidRPr="00CE7BD2" w:rsidSect="00CE7BD2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D5"/>
    <w:rsid w:val="00104564"/>
    <w:rsid w:val="00681FDA"/>
    <w:rsid w:val="00781242"/>
    <w:rsid w:val="0080713F"/>
    <w:rsid w:val="008C227E"/>
    <w:rsid w:val="00AE2CBA"/>
    <w:rsid w:val="00BE122F"/>
    <w:rsid w:val="00CC3D8B"/>
    <w:rsid w:val="00CE7BD2"/>
    <w:rsid w:val="00DA6BD5"/>
    <w:rsid w:val="00EE0C5F"/>
    <w:rsid w:val="00F06D79"/>
    <w:rsid w:val="00F2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89BDD"/>
  <w14:defaultImageDpi w14:val="300"/>
  <w15:docId w15:val="{A27217F8-1968-4DBB-BBCB-BDFC7F30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Anesthesiology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Chadwick</dc:creator>
  <cp:keywords/>
  <dc:description/>
  <cp:lastModifiedBy>Heather Harvey</cp:lastModifiedBy>
  <cp:revision>2</cp:revision>
  <dcterms:created xsi:type="dcterms:W3CDTF">2019-02-06T03:17:00Z</dcterms:created>
  <dcterms:modified xsi:type="dcterms:W3CDTF">2019-02-06T03:17:00Z</dcterms:modified>
</cp:coreProperties>
</file>